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437" w:rsidRDefault="00281437">
      <w:pPr>
        <w:pBdr>
          <w:top w:val="nil"/>
          <w:left w:val="nil"/>
          <w:bottom w:val="nil"/>
          <w:right w:val="nil"/>
          <w:between w:val="nil"/>
        </w:pBdr>
        <w:tabs>
          <w:tab w:val="left" w:pos="8647"/>
          <w:tab w:val="left" w:pos="10205"/>
        </w:tabs>
        <w:spacing w:after="60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1437" w:rsidRDefault="00264669">
      <w:pPr>
        <w:pBdr>
          <w:top w:val="nil"/>
          <w:left w:val="nil"/>
          <w:bottom w:val="nil"/>
          <w:right w:val="nil"/>
          <w:between w:val="nil"/>
        </w:pBdr>
        <w:tabs>
          <w:tab w:val="left" w:pos="10205"/>
        </w:tabs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ПЕРЕЛІК</w:t>
      </w:r>
    </w:p>
    <w:p w:rsidR="00281437" w:rsidRDefault="00264669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питань щодо проведення заходу державного нагляду (контролю)</w:t>
      </w:r>
    </w:p>
    <w:p w:rsidR="00281437" w:rsidRDefault="00264669">
      <w:pPr>
        <w:pBdr>
          <w:top w:val="nil"/>
          <w:left w:val="nil"/>
          <w:bottom w:val="nil"/>
          <w:right w:val="nil"/>
          <w:between w:val="nil"/>
        </w:pBdr>
        <w:ind w:firstLine="3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щодо провадження освітньої діяльності у сфері вищої освіти </w:t>
      </w:r>
    </w:p>
    <w:p w:rsidR="00281437" w:rsidRDefault="0028143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8"/>
          <w:szCs w:val="8"/>
        </w:rPr>
      </w:pPr>
    </w:p>
    <w:tbl>
      <w:tblPr>
        <w:tblStyle w:val="a8"/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2975"/>
        <w:gridCol w:w="1135"/>
        <w:gridCol w:w="1983"/>
        <w:gridCol w:w="567"/>
        <w:gridCol w:w="429"/>
        <w:gridCol w:w="56"/>
        <w:gridCol w:w="796"/>
        <w:gridCol w:w="2268"/>
      </w:tblGrid>
      <w:tr w:rsidR="00281437">
        <w:trPr>
          <w:trHeight w:val="640"/>
        </w:trPr>
        <w:tc>
          <w:tcPr>
            <w:tcW w:w="706" w:type="dxa"/>
            <w:vMerge w:val="restart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№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з/п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Питання щодо дотримання суб’єктом господарювання вимог законодавства</w:t>
            </w:r>
          </w:p>
        </w:tc>
        <w:tc>
          <w:tcPr>
            <w:tcW w:w="1135" w:type="dxa"/>
            <w:vMerge w:val="restart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Ступінь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ризику суб’єкта господа-рювання*</w:t>
            </w:r>
          </w:p>
        </w:tc>
        <w:tc>
          <w:tcPr>
            <w:tcW w:w="1983" w:type="dxa"/>
            <w:vMerge w:val="restart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Позиція суб’єкта господарювання щодо негативного впливу вимоги законодавства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(від 1 до 4 балів)**</w:t>
            </w:r>
          </w:p>
        </w:tc>
        <w:tc>
          <w:tcPr>
            <w:tcW w:w="1848" w:type="dxa"/>
            <w:gridSpan w:val="4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Відповіді на питання</w:t>
            </w:r>
          </w:p>
        </w:tc>
        <w:tc>
          <w:tcPr>
            <w:tcW w:w="2268" w:type="dxa"/>
            <w:vMerge w:val="restart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Нормативне обґрунтування</w:t>
            </w:r>
          </w:p>
        </w:tc>
      </w:tr>
      <w:tr w:rsidR="00281437">
        <w:trPr>
          <w:trHeight w:val="315"/>
        </w:trPr>
        <w:tc>
          <w:tcPr>
            <w:tcW w:w="706" w:type="dxa"/>
            <w:vMerge/>
            <w:vAlign w:val="center"/>
          </w:tcPr>
          <w:p w:rsidR="00281437" w:rsidRDefault="00281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75" w:type="dxa"/>
            <w:vMerge/>
            <w:vAlign w:val="center"/>
          </w:tcPr>
          <w:p w:rsidR="00281437" w:rsidRDefault="00281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</w:tcPr>
          <w:p w:rsidR="00281437" w:rsidRDefault="00281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vAlign w:val="center"/>
          </w:tcPr>
          <w:p w:rsidR="00281437" w:rsidRDefault="00281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так</w:t>
            </w:r>
          </w:p>
        </w:tc>
        <w:tc>
          <w:tcPr>
            <w:tcW w:w="429" w:type="dxa"/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ні</w:t>
            </w:r>
          </w:p>
        </w:tc>
        <w:tc>
          <w:tcPr>
            <w:tcW w:w="852" w:type="dxa"/>
            <w:gridSpan w:val="2"/>
            <w:tcMar>
              <w:left w:w="28" w:type="dxa"/>
              <w:right w:w="28" w:type="dxa"/>
            </w:tcMar>
            <w:vAlign w:val="center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не розгля-далося</w:t>
            </w:r>
          </w:p>
        </w:tc>
        <w:tc>
          <w:tcPr>
            <w:tcW w:w="2268" w:type="dxa"/>
            <w:vMerge/>
            <w:vAlign w:val="center"/>
          </w:tcPr>
          <w:p w:rsidR="00281437" w:rsidRDefault="00281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81437">
        <w:trPr>
          <w:trHeight w:val="560"/>
        </w:trPr>
        <w:tc>
          <w:tcPr>
            <w:tcW w:w="10915" w:type="dxa"/>
            <w:gridSpan w:val="9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6"/>
              </w:rPr>
            </w:pPr>
          </w:p>
          <w:p w:rsidR="00281437" w:rsidRDefault="002646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Загальні вимого щодо провадження освітньої діяльності на рівні вищої освіти</w:t>
            </w:r>
          </w:p>
        </w:tc>
      </w:tr>
      <w:tr w:rsidR="00281437">
        <w:trPr>
          <w:trHeight w:val="315"/>
        </w:trPr>
        <w:tc>
          <w:tcPr>
            <w:tcW w:w="706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Основним видом економічної діяльності ліцензіата є освітня діяльність. Для наукових установ основним видом діяльності може бути діяльність у сфері наукових досліджень та розробок. </w:t>
            </w:r>
          </w:p>
        </w:tc>
        <w:tc>
          <w:tcPr>
            <w:tcW w:w="113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  <w:shd w:val="clear" w:color="auto" w:fill="auto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Пункт 5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Ліцензійн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их умов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81437">
        <w:trPr>
          <w:trHeight w:val="315"/>
        </w:trPr>
        <w:tc>
          <w:tcPr>
            <w:tcW w:w="706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провадить освітню діяльність на рівнях вищої, освіти в межах ліцензованого обсягу.</w:t>
            </w:r>
          </w:p>
        </w:tc>
        <w:tc>
          <w:tcPr>
            <w:tcW w:w="113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  <w:shd w:val="clear" w:color="auto" w:fill="auto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Пункт 7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Ліцензійних умов,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частина перша статті 24  Закону України «Про вищу освіту», частина перша статті 43 Закону України «Про освіту»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281437">
        <w:trPr>
          <w:trHeight w:val="315"/>
        </w:trPr>
        <w:tc>
          <w:tcPr>
            <w:tcW w:w="706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Підготовка іноземців та осіб без громадянства здійснюється в межах ліцензованих обсягів на рівні вищої освіти, за освітніми програмами, що передбачають присвоєння професійної кваліфікації з професій, для яких запроваджено додаткове регулювання, на певному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рівні вищої освіти, </w:t>
            </w: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 спеціальностями на рівні фахової передвищої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та у сфері післядипломної освіти, </w:t>
            </w: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 професіями або класом класифікаційного угруповання на рівні професійної (професійно-технічної) освіти.</w:t>
            </w:r>
          </w:p>
        </w:tc>
        <w:tc>
          <w:tcPr>
            <w:tcW w:w="113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  <w:shd w:val="clear" w:color="auto" w:fill="auto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Пункт 7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97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використання за календарний рік більше 50 відсотків ліцензованого обсягу за певним рівнем вищої освіти або за певною освітньою програмою, що передбачає присвоєння професійної кваліфікації з професій, для яких запроваджено додаткове рег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улювання, на відповідному рівні вищої освіти.</w:t>
            </w:r>
          </w:p>
        </w:tc>
        <w:tc>
          <w:tcPr>
            <w:tcW w:w="1135" w:type="dxa"/>
            <w:shd w:val="clear" w:color="auto" w:fill="auto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  <w:shd w:val="clear" w:color="auto" w:fill="auto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 пункту 11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Ліцензійних умов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використав  більше 25 відсотків ліцензованого обсягу протягом навчального року за певною спеціальністю.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другий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пункту 11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Ліцензійних умов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має структурний підрозділ з роботи з іноземцями та особами без громадянства (до функцій якого, зокрема, належить надання інформаційних, методичних, консультативних та організаційних послуг; оформлення запрошень на навчання; організаційна робота щ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одо оформлення посвідки на тимчасове проживання, реєстрації місця проживання та перебування іноземців та осіб без громадянства в Україні та в закладі освіти на законних підставах).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Абзац перший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13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Ліцензійних умов,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стаття 57 Господарського кодексу України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проведення для іноземців та осіб без громадянства, які в’їжджають в Україну з метою навчання, тестових випробувань на знання ними української або англійської мови.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Абзац другий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13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Ліцензійних умов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Ліцензіат забезпечив не менше 25 відсотків педагогічних, науково-педагогічних, наукових працівників, які забезпечують реалізацію освітніх компонентів, передбачених освітньою програмою, з підготовки іноземців та осіб без громадянства, іншою ніж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державна мов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а, повинні мати документ, що засвідчує володіння англійською мовою на рівні не нижче В2 відповідно до Загальноєвропейських рекомендацій з мовної освіти, або мати кваліфікаційні документи (документ про вищу освіту, науковий ступінь), що засвідчують кваліфік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ацію з англійської мови (для вищих військових навчальних закладів та військових навчальних підрозділів закладів вищої освіти - на рівні не нижче CMP-2 за мовним стандартом НАТО - STANAG 6001).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Абзац третій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13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10915" w:type="dxa"/>
            <w:gridSpan w:val="9"/>
          </w:tcPr>
          <w:p w:rsidR="00281437" w:rsidRDefault="002646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Організаційні вимоги щодо провадження освітньої діяльності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зберігання документів, а саме: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 16 Ліцензійних умов,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стаття 57 Господарського кодексу України,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абзац другий частини першої статті 14 Закону № 222 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9.1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копії яких подавалися до органу ліцензування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 пункту 16 Ліцензійних умов</w:t>
            </w:r>
          </w:p>
        </w:tc>
      </w:tr>
      <w:tr w:rsidR="00281437">
        <w:trPr>
          <w:trHeight w:val="165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9.2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документи які підтверджують достовірність даних, що зазначалися ліцензіатом у документах, які подавалися органу ліцензування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другий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 16 Ліцензійних умов</w:t>
            </w:r>
          </w:p>
        </w:tc>
      </w:tr>
      <w:tr w:rsidR="00281437">
        <w:trPr>
          <w:trHeight w:val="1044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9.3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документи які підтверджують здійснення оплати за видачу ліцензії.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Абзац третій пункту 16 Ліцензійних умов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81437">
        <w:trPr>
          <w:trHeight w:val="1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провадження освітньої діяльності виключно в місцях її провадження, зазначених у документах, поданих органу ліцензування, крім провадження освітньої діяльності за місцем проживання дитини на рівні дошкільної освіти та у сфері позашкільн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ої освіти, провадження освітньої діяльності за місцем,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наданим замовником для отримання короткострокових освітніх послуг у сфері позашкільної освіти (семінару, лекції, тренінгу, вебінару тощо), крім провадження освітньої діяльності з підвищення кваліфікаці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ї працівника за місцем його роботи у сфері післядипломної освіти.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17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Ліцензійних умов, 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частина восьма статті 9 Закону № 222</w:t>
            </w:r>
          </w:p>
        </w:tc>
      </w:tr>
      <w:tr w:rsidR="00281437">
        <w:trPr>
          <w:trHeight w:val="130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повідомлення органу ліцензування про зміну даних, зазначених у документах, що додавалися до заяви, протягом тридцяти календарних днів з дня настання таких змін.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Абзац перший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пункту 18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>,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частина друга статті 15 Закону № 222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внесення даних які стосуються зміни (нового) місця провадження освітньої діяльності.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протягом семи робочих днів від дня настання таких змін подає органу ліцензування заяву про внесення змін до ліцензії на провадження освітньої діяльності у зв’язку із зміною місця провадження згідно з додатком 13 та копії документів, оформлених ві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дповідно до вимог законодавства, що підтверджують право власності чи користування майном для провадження освітньої діяльності, та забезпечення безперешкодного доступу до будівель, приміщень закладу освіти осіб з інвалідністю та інших маломобільних груп нас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елення.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Абзац другий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пункту 18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802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присутність керівника або іншої уповноваженої посадової особи під час проведення органом ліцензування перевірки дотримання ліцензіатом вимог цих Ліцензійних умов.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Пункт 19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4428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Ліцензіат розробив та протягом місяця з моменту початку провадження освітньої діяльності подав органу ліцензування порядок дій у разі позапланового припинення провадження ним освітньої діяльності загалом, за певним рівнем освіти або у певній сфері освіти,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або за певними місцями її провадження (у зв’язку з неможливістю використання матеріально-технічної бази, виникненням форс-мажорних обставин тощо) та порядок відновлення провадження такої діяльності.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Пункт 20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Ліцензіат, що провадить освітню діяльність, повідомив орган ліцензування про планове або позапланове припинення провадження освітньої діяльності загалом, за певним рівнем освіти або у певній сфері освіти, або за певними місцями її провадження протягом п’ят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 робочих днів з моменту прийняття відповідного рішення, а також про заходи, що вживатимуться ним для забезпечення продовження навчання здобувачів освіти.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Пункт 21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2829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відповідає вимогам Ліцензійних умов щодо започаткування провадження освітньої діяльності на відповідному рівні освіти або у сфері освіти, а ліцензіат зобов’язаний виконувати вимоги Ліцензійних умов щодо започаткування та провадження освітньої дія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льності на певному (певних) рівні (рівнях) або у сфері (сферах) освіти в кожному місці провадження освітньої діяльності.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 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22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Всі особи, залучені здобувачем ліцензії (ліцензіатом) до провадження освітньої діяльності, діють за відповідними трудовими договорами (угодами).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23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наявність трудових договорів (контрактів) у письмовій формі з усіма керівниками, педагогічними, науково-педагогічними та науковими працівниками. Здобувач ліцензії забезпечує наявність трудового договору (контракту) з керівником закладу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освіти або з особою, що виконує обов’язки керівника закладу освіти (керівником або з особою, що виконує обов’язки керівника відокремленого структурного підрозділу, що провадить освітню діяльність, іншої юридичної особи; особою, найнятою (за потреби) фізич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ною особою - підприємцем для виконання обов’язків керівника) (крім професійного (професійно-технічного) навчання на виробництві).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другий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23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Трудові договори (контракти) науково-педагогічних працівників закладів вищої освіти та наукових установ за основним місцем роботи укладені лише за результатами конкурсного відбору.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третій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23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 w:rsidTr="00C2151F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975" w:type="dxa"/>
            <w:shd w:val="clear" w:color="auto" w:fill="auto"/>
          </w:tcPr>
          <w:p w:rsidR="00281437" w:rsidRPr="00C2151F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 разі заміщення посад науково-педагогічних працівників, які підвищують кваліфікацію або проходять стажування з відривом від виробництва, реалізують право на академічну мобільність для провадження професійної діяльності відповідно до укладеного договору пр</w:t>
            </w: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 участь у програмі академічної мобільності, проходять військову службу за призовом та/або під час </w:t>
            </w: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мобілізації, або перебувають у соціальній відпустці, та у разі неможливості забезпечення освітнього процесу наявними штатними працівниками, вакантні посади н</w:t>
            </w: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ауково-педагогічних працівників можуть заміщуватися за трудовим договором до проведення конкурсного заміщення цих посад у поточному навчальному році.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четвертий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23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доступність навчальних приміщень для осіб з інвалідністю та інших маломобільних груп населення, зокрема безперешкодний доступ до будівлі, навчальних класів (груп) та іншої інфраструктури відповідно до державних будівельних норм,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і стандартів (крім будівель, існуюча об’ємно-планувальна схема яких не розрахована на здійснення заходів щодо інклюзивності), що повинно бути документально підтверджено фахівцем з питань технічного обстеження будівель та споруд, який має кваліфікаційний с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ертифікат, або відповідною установою, уповноваженою на проведення зазначених обстежень.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25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Медичне обслуговування, організація харчування та прання, ведення бухгалтерського обліку і діловодства, інші додаткові для здійснення освітнього процесу види діяльності ліцензіата, передбачені законодавством, забезпечені та здійснюватися шляхом залучення л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іцензіатом на договірних умовах інших суб’єктів господарювання, що мають право надавати відповідні послуги.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26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Здобувачі професійної (професійно-технічної), фахової передвищої та вищої освіти, які цього потребують, забезпечені гуртожитком (крім навчання на виробництві).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27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за місцем провадження освітньої діяльності доступ учасників освітнього процесу до Інтернету в номінальній швидкості для виконання затвердженої (затверджених) освітньої (освітніх) програми (програм), включаючи самостійну роботу здобувач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ів освіти, педагогічних та науково-педагогічних працівників.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28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(крім фізичних осіб - підприємців, які не використовують найманої праці, та професійного (професійно-технічного) навчання на виробництві) забезпечив на своїх веб-сайтах (у разі їх відсутності - на веб-сайтах своїх засновників) відкритий доступ до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інформації та документів, передбачених 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</w:rPr>
                <w:t>Законом України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“Про освіту” та спеціальними законами у сфері освіти.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29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 разі провадження освітньої діяльності з підготовки іноземців та осіб без громадянства на офіційному веб-сайті ліцензіата є в наявності сторінка англійською мовою, на якій розміщена основна інформація про суб’єкта освітньої діяльності, правила прийому іно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земців та осіб без громадянства, умови навчання та проживання іноземців та осіб без громадянства, контактна інформація тощо.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другий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пункту29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умов,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стаття 30 Закону України «Про освіту»,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пункт 2 Наказу МОН</w:t>
            </w:r>
          </w:p>
          <w:p w:rsidR="00281437" w:rsidRDefault="002646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№ 1432 </w:t>
            </w:r>
          </w:p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подання в електронній формі відомостей про кадрове та матеріально-технічне забезпечення закладу освіти, його відокремленого структурного підрозділу, які передбачені цими Ліцензійними умовами, до Єдиної державної електронної бази з пита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нь освіти.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30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актуальність відомостей про кадрове та матеріально-технічне забезпечення в Єдиній державній електронній базі з питань освіти. Відомості про зміни даних у кадровому та матеріально-технічному забезпеченні вносяться ліцензіатом протягом 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ридцяти календарних днів з дня настання таких змін.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другий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30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975" w:type="dxa"/>
          </w:tcPr>
          <w:p w:rsidR="00281437" w:rsidRPr="00C2151F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Вищі військові навчальні заклади (військові навчальні підрозділи закладів вищої освіти, заклади вищої освіти із специфічними умовами навчання), заклади фахової передвищої військової освіти, заклади фахової передвищої освіти та професійної (професійно-техні</w:t>
            </w:r>
            <w:r w:rsidRPr="00C215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чної) освіти із специфічними умовами навчання подають відомості про дотримання кадрових, технологічних та інших вимог безпосередньо органу ліцензування.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31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377"/>
        </w:trPr>
        <w:tc>
          <w:tcPr>
            <w:tcW w:w="10915" w:type="dxa"/>
            <w:gridSpan w:val="9"/>
          </w:tcPr>
          <w:p w:rsidR="00281437" w:rsidRDefault="002646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Спеціальні вимоги щодо провадження освітньої діяльності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Ліцензіатам не провадить діяльність релігійних організацій чи політичних партій або брати участь у такій діяльності (крім закладів освіти, визначених </w:t>
            </w:r>
            <w:hyperlink r:id="rId9" w:anchor="n470">
              <w: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</w:rPr>
                <w:t>частиною другою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 статті 31 Закону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України “Про освіту”).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34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1593"/>
        </w:trPr>
        <w:tc>
          <w:tcPr>
            <w:tcW w:w="706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не перебуває прямо чи опосередковано під контролем (у значенні, наведеному в </w:t>
            </w:r>
            <w:hyperlink r:id="rId10" w:anchor="n10">
              <w: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</w:rPr>
                <w:t>статті 1 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Закону України “Про захист економічної конкуренції”) резидентів держав, що здійснюють збройну агресію проти України (у значенні, наведеному в </w:t>
            </w:r>
            <w:hyperlink r:id="rId11" w:anchor="n138">
              <w: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</w:rPr>
                <w:t>статті 1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Закону України “Про оборону Укра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їни”) та/або дії яких створюють умови для виникнення воєнного конфлікту та застосування воєнної сили проти України, та/або не можуть діяти в інтересах таких осіб.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Абзац другий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34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636"/>
        </w:trPr>
        <w:tc>
          <w:tcPr>
            <w:tcW w:w="10915" w:type="dxa"/>
            <w:gridSpan w:val="9"/>
          </w:tcPr>
          <w:p w:rsidR="00281437" w:rsidRDefault="002646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Кадрові вимоги щодо провадження освітньої діяльності за рівнем вищої освіти та освітніми програмами, що передбачають присвоєння професійної кваліфікації з професій, для яких запроваджено додаткове регулювання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забезпечений науково-педагогічними (педагогічними) та/або науковими працівниками, необхідними для реалізації освітніх компонентів, передбачених освітньою (освітніми) програмою (програмами) на відповідному рівні вищої освіти., а саме: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gridSpan w:val="2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 пункту 35 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.1</w:t>
            </w:r>
          </w:p>
        </w:tc>
        <w:tc>
          <w:tcPr>
            <w:tcW w:w="2975" w:type="dxa"/>
          </w:tcPr>
          <w:p w:rsidR="00281437" w:rsidRDefault="002646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Частка науково-педагогічних (педагогічних) та/або наукових працівників, які мають науковий ступінь та/або вчене звання та працюють у здобувача ліцензії (ліцензіата) за основним місцем роботи, повинна становити не менше 50 відсотків на відповідному рівні ви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щої освіти або за освітньою програмою, що передбачає присвоєння професійної кваліфікації з професій, для яких запроваджено додаткове регулювання, на відповідному рівні вищої освіти, з них осіб, які мають науковий ступінь доктора наук та/або вчене звання пр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офесора, повинна становити: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gridSpan w:val="2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другий  пункту 35 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.2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другого (магістерського) рівня вищої освіти - не менше 10 відсотків;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gridSpan w:val="2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третій пункту 35 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29,3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третього (освітньо-наукового/освітньо-творчого) рівня вищої освіти - не менше двох докторів наук (для освітньо-творчих програм замість доктора наук може враховуватися доктор мистецтва) для здійснення керівництва науковою складовою кожної освітньо-науко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вої/освітньо-творчої програми.</w:t>
            </w:r>
          </w:p>
        </w:tc>
        <w:tc>
          <w:tcPr>
            <w:tcW w:w="1135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четвертий пункту 35 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Склад науково-педагогічних, педагогічних та наукових працівників, які мають освітню та/або професійну кваліфікацію, відповідну освітній програмі, не менший як три особи, які мають науковий ступінь та/або вчене звання та працюють у закладі освіти за основни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 місцем роботи.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п’ятий пункту 35 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кожний освітній компонент освітньої програми на відповідному рівні вищої освіти науково-педагогічними (педагогічними) та/або науковими працівниками з урахуванням відповідності їх освітньої та/або професійної кваліфікації. Науково-педаг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огічні, педагогічні та наукові працівники, які забезпечують освітній процес, повинні мати не менше чотирьох досягнень у професійній діяльності за останні п’ять років, визначених у пункті 38 цих Ліцензійних умов.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36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10915" w:type="dxa"/>
            <w:gridSpan w:val="9"/>
          </w:tcPr>
          <w:p w:rsidR="00281437" w:rsidRDefault="002646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Технологічні вимоги щодо провадження освітньої діяльності для освітніх програм на відповідному рівні вищої освіти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До матеріально-технічного забезпечення освітньої діяльності до ліцензіата встановлюються такі технологічні вимоги: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Пункт  39 Ліцензійних умов</w:t>
            </w:r>
          </w:p>
        </w:tc>
      </w:tr>
      <w:tr w:rsidR="00281437">
        <w:trPr>
          <w:trHeight w:val="2164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наявність документів, які підтверджують право власності чи користування майном для провадження освітньої діяльності на строк не менший необхідного для завершення одного повного циклу освітньої діяльності;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підпункт перший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Пункту 39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забезпечення навчальними аудиторіями та лабораторіями, майстернями, включаючи комп’ютерні робочі місця (враховується комп’ютерна техніка із строком експлуатації не більше восьми років), полігонами, обладнанням та устаткуванням, спортивними залами та спорти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вними майданчиками (стадіоном) в обсязі, достатньому для виконання затвердженої (затверджених) освітньої (освітніх) програми (програм) та навчальних планів, медичним пунктом, бібліотекою з читальним залом, актовим чи концертним залом та пунктом харчування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 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підпункт другий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39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забезпечення навчальних аудиторій мультимедійним обладнанням повинно становити не менше 25 відсотків кількості аудиторій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підпункт третій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39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Площа навчальних приміщень для проведення освітнього процесу повинна становити не менш як 2,4 кв. метра на одну особу з урахуванням не більше трьох змін навчання, але не менше 2000 кв. метрів для закладу вищої освіти та не менше 1500 кв. метрів для територ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іально відокремленого структурного підрозділу закладу вищої освіти з урахуванням ліцензованих обсягів всіх дійсних ліцензій.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перший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підпункту 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39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наукової установи, яка провадить освітню діяльність на другому (магістерському) та/або третьому (освітньо-науковому/освітньо-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творчому) рівні вищої освіти, площа навчальних приміщень для проведення освітнього процесу повинна становити не менш як 2,4 кв.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метра на одну особу з урахуванням не більше трьох змін навчання та ліцензованих обсягів всіх дійсних ліцензій.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Абзац другий підпункту 3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пункту 39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  <w:tr w:rsidR="00281437">
        <w:trPr>
          <w:trHeight w:val="315"/>
        </w:trPr>
        <w:tc>
          <w:tcPr>
            <w:tcW w:w="706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297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Ліцензіат забезпечив дотримання вимог до матеріально-технічної бази, які визначені особливостями ліцензування освітньої діяльності за освітніми програмами, що передбачають присвоєння професійних кваліфікацій для доступу до професій, для яких запроваджено д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одаткове регулювання.</w:t>
            </w:r>
          </w:p>
        </w:tc>
        <w:tc>
          <w:tcPr>
            <w:tcW w:w="1135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 </w:t>
            </w:r>
          </w:p>
        </w:tc>
        <w:tc>
          <w:tcPr>
            <w:tcW w:w="1983" w:type="dxa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281437" w:rsidRDefault="00281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Пункт 40</w:t>
            </w:r>
          </w:p>
          <w:p w:rsidR="00281437" w:rsidRDefault="00264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Ліцензійних умов</w:t>
            </w:r>
          </w:p>
        </w:tc>
      </w:tr>
    </w:tbl>
    <w:p w:rsidR="00281437" w:rsidRDefault="00281437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281437" w:rsidRDefault="0026466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*Ступені ризику: «Н» - незначний, «С» - середній, «В» - високий.</w:t>
      </w:r>
    </w:p>
    <w:p w:rsidR="00281437" w:rsidRDefault="00281437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281437" w:rsidRDefault="0026466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** 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бо будь-яке інше навантаження на суб’єкта господарювання, 1 –  питання щодо вимоги законодавства, дотримання якої не передбачає такого навантаження на суб’єкта господарювання.</w:t>
      </w:r>
    </w:p>
    <w:p w:rsidR="00281437" w:rsidRDefault="0028143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1437" w:rsidRDefault="0028143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81437">
      <w:headerReference w:type="default" r:id="rId12"/>
      <w:headerReference w:type="first" r:id="rId13"/>
      <w:pgSz w:w="11906" w:h="16838"/>
      <w:pgMar w:top="709" w:right="567" w:bottom="567" w:left="1134" w:header="426" w:footer="1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669" w:rsidRDefault="00264669">
      <w:r>
        <w:separator/>
      </w:r>
    </w:p>
  </w:endnote>
  <w:endnote w:type="continuationSeparator" w:id="0">
    <w:p w:rsidR="00264669" w:rsidRDefault="0026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669" w:rsidRDefault="00264669">
      <w:r>
        <w:separator/>
      </w:r>
    </w:p>
  </w:footnote>
  <w:footnote w:type="continuationSeparator" w:id="0">
    <w:p w:rsidR="00264669" w:rsidRDefault="00264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437" w:rsidRDefault="002646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C2151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2151F">
      <w:rPr>
        <w:rFonts w:ascii="Times New Roman" w:eastAsia="Times New Roman" w:hAnsi="Times New Roman" w:cs="Times New Roman"/>
        <w:noProof/>
        <w:color w:val="000000"/>
        <w:sz w:val="24"/>
        <w:szCs w:val="24"/>
      </w:rPr>
      <w:t>13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281437" w:rsidRDefault="002814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  <w:p w:rsidR="00281437" w:rsidRDefault="00264669">
    <w:pPr>
      <w:pBdr>
        <w:top w:val="nil"/>
        <w:left w:val="nil"/>
        <w:bottom w:val="nil"/>
        <w:right w:val="nil"/>
        <w:between w:val="nil"/>
      </w:pBdr>
      <w:tabs>
        <w:tab w:val="left" w:pos="8647"/>
        <w:tab w:val="left" w:pos="10205"/>
      </w:tabs>
      <w:spacing w:after="60"/>
      <w:ind w:left="4395" w:firstLine="1275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 1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437" w:rsidRDefault="002814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281437" w:rsidRDefault="00281437">
    <w:pPr>
      <w:pBdr>
        <w:top w:val="nil"/>
        <w:left w:val="nil"/>
        <w:bottom w:val="nil"/>
        <w:right w:val="nil"/>
        <w:between w:val="nil"/>
      </w:pBdr>
      <w:tabs>
        <w:tab w:val="left" w:pos="8647"/>
        <w:tab w:val="left" w:pos="10205"/>
      </w:tabs>
      <w:spacing w:after="60"/>
      <w:ind w:left="4395" w:firstLine="184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281437" w:rsidRDefault="00264669">
    <w:pPr>
      <w:pBdr>
        <w:top w:val="nil"/>
        <w:left w:val="nil"/>
        <w:bottom w:val="nil"/>
        <w:right w:val="nil"/>
        <w:between w:val="nil"/>
      </w:pBdr>
      <w:tabs>
        <w:tab w:val="left" w:pos="8647"/>
        <w:tab w:val="left" w:pos="10205"/>
      </w:tabs>
      <w:spacing w:after="60"/>
      <w:ind w:left="4395" w:firstLine="1275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>Додаток 1</w:t>
    </w:r>
  </w:p>
  <w:p w:rsidR="00281437" w:rsidRDefault="00264669">
    <w:pPr>
      <w:pBdr>
        <w:top w:val="nil"/>
        <w:left w:val="nil"/>
        <w:bottom w:val="nil"/>
        <w:right w:val="nil"/>
        <w:between w:val="nil"/>
      </w:pBdr>
      <w:tabs>
        <w:tab w:val="left" w:pos="8647"/>
        <w:tab w:val="left" w:pos="10205"/>
      </w:tabs>
      <w:spacing w:after="60"/>
      <w:ind w:left="5670"/>
      <w:jc w:val="both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>до Акта, складеного за результатами проведення  планового (позапланового) заходу державного нагляду (контролю) щодо дотримання суб’єктом господарювання вимог законодавства у сфері освітньої діяльності, що підлягає ліцензуванню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F1D2B"/>
    <w:multiLevelType w:val="multilevel"/>
    <w:tmpl w:val="7942645A"/>
    <w:lvl w:ilvl="0">
      <w:start w:val="1"/>
      <w:numFmt w:val="decimal"/>
      <w:lvlText w:val="%1."/>
      <w:lvlJc w:val="left"/>
      <w:pPr>
        <w:ind w:left="720" w:hanging="360"/>
      </w:pPr>
      <w:rPr>
        <w:b/>
        <w:i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37"/>
    <w:rsid w:val="00264669"/>
    <w:rsid w:val="00281437"/>
    <w:rsid w:val="00C2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B62B0-4B49-4553-8517-1DECC81A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08C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A2E0C"/>
    <w:rPr>
      <w:color w:val="0000FF"/>
      <w:u w:val="single"/>
    </w:rPr>
  </w:style>
  <w:style w:type="table" w:customStyle="1" w:styleId="a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1932-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2210-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145-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b1C+oIBnvyQpkebQryzcWCYkcw==">AMUW2mVG1k07bXDoajduHcHQBy9CYMpRBwsptDQnWx3H6XcoHGZWP+p+EWe3VDC81tlJbG6AoG3mJwdmPJJ2uvMgAnjDUGpCvzbwb24tT9HtmF1Z5evuxDZvBtaEwpd25Kuar1KAKRib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12373</Words>
  <Characters>7053</Characters>
  <Application>Microsoft Office Word</Application>
  <DocSecurity>0</DocSecurity>
  <Lines>58</Lines>
  <Paragraphs>38</Paragraphs>
  <ScaleCrop>false</ScaleCrop>
  <Company/>
  <LinksUpToDate>false</LinksUpToDate>
  <CharactersWithSpaces>19388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Kostya</dc:creator>
  <cp:lastModifiedBy>Кліменко Андрій Лукич</cp:lastModifiedBy>
  <cp:revision>2</cp:revision>
  <dcterms:created xsi:type="dcterms:W3CDTF">2021-07-05T16:30:00Z</dcterms:created>
  <dcterms:modified xsi:type="dcterms:W3CDTF">2021-07-21T11:42:00Z</dcterms:modified>
</cp:coreProperties>
</file>